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EB" w:rsidRPr="00AF54EB" w:rsidRDefault="00AF54EB" w:rsidP="00AF54EB">
      <w:pPr>
        <w:pStyle w:val="11"/>
        <w:rPr>
          <w:rFonts w:ascii="GOSTUI2, sans-serif" w:hAnsi="GOSTUI2, sans-serif"/>
          <w:sz w:val="48"/>
        </w:rPr>
      </w:pPr>
      <w:r w:rsidRPr="00AF54EB">
        <w:rPr>
          <w:rFonts w:ascii="GOSTUI2, sans-serif" w:hAnsi="GOSTUI2, sans-serif"/>
          <w:sz w:val="48"/>
        </w:rPr>
        <w:t>Порядок подтверждения соблюдения лицензиатами лицензионных требований</w:t>
      </w:r>
    </w:p>
    <w:p w:rsidR="00AF54EB" w:rsidRPr="00AF54EB" w:rsidRDefault="00AF54EB" w:rsidP="00AF54EB"/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1. Лицензиат подтверждает соблюдение лицензионных требований путем представления в лицензирующий орган информации в порядке, предусмотренном Федеральным законом от 04.05.2011 № 99-ФЗ «О лицензировании отдельных видов деятельности», каждые три года со дня предоставления лицензии.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b/>
          <w:szCs w:val="28"/>
        </w:rPr>
        <w:t> лицензиаты, которым лицензии предоставлены до 01.01.2012</w:t>
      </w:r>
      <w:r w:rsidRPr="00AF54EB">
        <w:rPr>
          <w:rFonts w:ascii="Times New Roman" w:hAnsi="Times New Roman" w:cs="Times New Roman"/>
          <w:szCs w:val="28"/>
        </w:rPr>
        <w:t>, должны представить в лицензирующий орган информацию, предусмотренную частью четвертой статьи 24.3 ФЗ-69, в течение первого года со дня вступления в силу с 01.02.2022 ФЗ-168;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 xml:space="preserve"> </w:t>
      </w:r>
      <w:r w:rsidRPr="00AF54EB">
        <w:rPr>
          <w:rFonts w:ascii="Times New Roman" w:hAnsi="Times New Roman" w:cs="Times New Roman"/>
          <w:b/>
          <w:szCs w:val="28"/>
        </w:rPr>
        <w:t>лицензиаты, которым лицензии предоставлены в период с 01.01.2012 по 31.12.2015</w:t>
      </w:r>
      <w:r w:rsidRPr="00AF54EB">
        <w:rPr>
          <w:rFonts w:ascii="Times New Roman" w:hAnsi="Times New Roman" w:cs="Times New Roman"/>
          <w:szCs w:val="28"/>
        </w:rPr>
        <w:t xml:space="preserve"> включительно, должны представить в лицензирующий орган информацию, предусмотренную частью четвертой статьи 24.3 ФЗ-69, в течение второго года (2023) со дня вступления в силу с 01.02.2022 ФЗ-168;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proofErr w:type="gramStart"/>
      <w:r w:rsidRPr="00AF54EB">
        <w:rPr>
          <w:rFonts w:ascii="Times New Roman" w:hAnsi="Times New Roman" w:cs="Times New Roman"/>
          <w:szCs w:val="28"/>
        </w:rPr>
        <w:t xml:space="preserve"> </w:t>
      </w:r>
      <w:r w:rsidRPr="00AF54EB">
        <w:rPr>
          <w:rFonts w:ascii="Times New Roman" w:hAnsi="Times New Roman" w:cs="Times New Roman"/>
          <w:b/>
          <w:szCs w:val="28"/>
        </w:rPr>
        <w:t>лицензиаты, которым лицензии предоставлены начиная с 01.01.2016</w:t>
      </w:r>
      <w:r w:rsidRPr="00AF54EB">
        <w:rPr>
          <w:rFonts w:ascii="Times New Roman" w:hAnsi="Times New Roman" w:cs="Times New Roman"/>
          <w:szCs w:val="28"/>
        </w:rPr>
        <w:t xml:space="preserve">, должны представить в лицензирующий орган информацию, предусмотренную частью четвертой статьи 24.3 Федерального закона от ФЗ-69, в течение третьего года со дня вступления в силу с 01.02.2022 ФЗ-168 в случае, если в течение этого года </w:t>
      </w:r>
      <w:r w:rsidRPr="00AF54EB">
        <w:rPr>
          <w:rFonts w:ascii="Times New Roman" w:hAnsi="Times New Roman" w:cs="Times New Roman"/>
          <w:b/>
          <w:szCs w:val="28"/>
        </w:rPr>
        <w:t>(2024)</w:t>
      </w:r>
      <w:r w:rsidRPr="00AF54EB">
        <w:rPr>
          <w:rFonts w:ascii="Times New Roman" w:hAnsi="Times New Roman" w:cs="Times New Roman"/>
          <w:szCs w:val="28"/>
        </w:rPr>
        <w:t xml:space="preserve"> или ранее истекло три года и более с даты выдачи лицензии.</w:t>
      </w:r>
      <w:proofErr w:type="gramEnd"/>
    </w:p>
    <w:p w:rsidR="00AF54EB" w:rsidRDefault="00AF54EB" w:rsidP="00AF54EB">
      <w:pPr>
        <w:pStyle w:val="Textbody"/>
        <w:widowControl/>
        <w:spacing w:line="375" w:lineRule="atLeast"/>
        <w:rPr>
          <w:rFonts w:ascii="Times New Roman" w:hAnsi="Times New Roman" w:cs="Times New Roman"/>
          <w:szCs w:val="28"/>
        </w:rPr>
      </w:pPr>
    </w:p>
    <w:p w:rsidR="00AF54EB" w:rsidRPr="00AF54EB" w:rsidRDefault="00AF54EB" w:rsidP="00AF54EB">
      <w:pPr>
        <w:pStyle w:val="Textbody"/>
        <w:widowControl/>
        <w:spacing w:after="300" w:line="375" w:lineRule="atLeast"/>
        <w:ind w:firstLine="709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 xml:space="preserve">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требованиям, поданное не ранее чем за один год до наступления </w:t>
      </w:r>
      <w:proofErr w:type="gramStart"/>
      <w:r w:rsidRPr="00AF54EB">
        <w:rPr>
          <w:rFonts w:ascii="Times New Roman" w:hAnsi="Times New Roman" w:cs="Times New Roman"/>
          <w:szCs w:val="28"/>
        </w:rPr>
        <w:t>срока прохождения процедуры периодического подтверждения соответствия</w:t>
      </w:r>
      <w:proofErr w:type="gramEnd"/>
      <w:r w:rsidRPr="00AF54EB">
        <w:rPr>
          <w:rFonts w:ascii="Times New Roman" w:hAnsi="Times New Roman" w:cs="Times New Roman"/>
          <w:szCs w:val="28"/>
        </w:rPr>
        <w:t xml:space="preserve"> лицензионным требованиям, определяемого в соответствии с частью 2 ст. 19.3 ФЗ-99.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ind w:firstLine="709"/>
        <w:rPr>
          <w:rFonts w:ascii="Times New Roman" w:hAnsi="Times New Roman" w:cs="Times New Roman"/>
          <w:szCs w:val="28"/>
          <w:u w:val="single"/>
        </w:rPr>
      </w:pPr>
      <w:r w:rsidRPr="00AF54EB">
        <w:rPr>
          <w:rFonts w:ascii="Times New Roman" w:hAnsi="Times New Roman" w:cs="Times New Roman"/>
          <w:szCs w:val="28"/>
          <w:u w:val="single"/>
        </w:rPr>
        <w:t>Отзыв лицензиатом заявления о периодическом подтверждении соответствия лицензионным требованиям не допускается.</w:t>
      </w:r>
    </w:p>
    <w:p w:rsid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 xml:space="preserve">Заявление о периодическом подтверждении соответствия лицензионным требованиям и прилагаемые к нему документы лицензиат представляет </w:t>
      </w:r>
      <w:r w:rsidR="000627BA">
        <w:rPr>
          <w:rFonts w:ascii="Times New Roman" w:hAnsi="Times New Roman" w:cs="Times New Roman"/>
          <w:szCs w:val="28"/>
        </w:rPr>
        <w:t xml:space="preserve">                           </w:t>
      </w:r>
      <w:r w:rsidRPr="00AF54EB">
        <w:rPr>
          <w:rFonts w:ascii="Times New Roman" w:hAnsi="Times New Roman" w:cs="Times New Roman"/>
          <w:szCs w:val="28"/>
        </w:rPr>
        <w:t xml:space="preserve">в лицензирующий орган в порядке, предусмотренном частями 2 - 10 статьи 13 ФЗ-99. </w:t>
      </w:r>
    </w:p>
    <w:p w:rsid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lastRenderedPageBreak/>
        <w:t>Если документы, которые должны быть приложены к заявлению о периодическом подтверждении соответствия лицензионным требованиям, ранее представлялись лицензиатом в лицензирующий орган, такие документы не подлежат повторному представлению.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 xml:space="preserve">Общий срок процедуры периодического подтверждения соответствия лицензиата лицензионным требованиям </w:t>
      </w:r>
      <w:r w:rsidRPr="000627BA">
        <w:rPr>
          <w:rFonts w:ascii="Times New Roman" w:hAnsi="Times New Roman" w:cs="Times New Roman"/>
          <w:b/>
          <w:szCs w:val="28"/>
        </w:rPr>
        <w:t>не может превышать двадцать рабочих дней</w:t>
      </w:r>
      <w:r w:rsidRPr="00AF54EB">
        <w:rPr>
          <w:rFonts w:ascii="Times New Roman" w:hAnsi="Times New Roman" w:cs="Times New Roman"/>
          <w:szCs w:val="28"/>
        </w:rPr>
        <w:t xml:space="preserve"> со дня приема заявления лицензиата о периодическом подтверждении соответствия лицензионным требованиям.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решений: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1) о соответствии лицензиата лицензионным требованиям;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2) о направлении лицензиату перечня выявленных нарушений лицензионных требований с указанием срока их устранения.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Срок, порядок устранения,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proofErr w:type="gramStart"/>
      <w:r w:rsidRPr="00AF54EB">
        <w:rPr>
          <w:rFonts w:ascii="Times New Roman" w:hAnsi="Times New Roman" w:cs="Times New Roman"/>
          <w:szCs w:val="28"/>
        </w:rPr>
        <w:t>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  <w:proofErr w:type="gramEnd"/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В случае</w:t>
      </w:r>
      <w:proofErr w:type="gramStart"/>
      <w:r w:rsidRPr="00AF54EB">
        <w:rPr>
          <w:rFonts w:ascii="Times New Roman" w:hAnsi="Times New Roman" w:cs="Times New Roman"/>
          <w:szCs w:val="28"/>
        </w:rPr>
        <w:t>,</w:t>
      </w:r>
      <w:proofErr w:type="gramEnd"/>
      <w:r w:rsidRPr="00AF54EB">
        <w:rPr>
          <w:rFonts w:ascii="Times New Roman" w:hAnsi="Times New Roman" w:cs="Times New Roman"/>
          <w:szCs w:val="28"/>
        </w:rPr>
        <w:t xml:space="preserve">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требований, лицензиат обязан в установленный срок устранить указанные нарушения и уведомить об устранении нарушений лицензирующий орган.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В случае</w:t>
      </w:r>
      <w:proofErr w:type="gramStart"/>
      <w:r w:rsidRPr="00AF54EB">
        <w:rPr>
          <w:rFonts w:ascii="Times New Roman" w:hAnsi="Times New Roman" w:cs="Times New Roman"/>
          <w:szCs w:val="28"/>
        </w:rPr>
        <w:t>,</w:t>
      </w:r>
      <w:proofErr w:type="gramEnd"/>
      <w:r w:rsidRPr="00AF54EB">
        <w:rPr>
          <w:rFonts w:ascii="Times New Roman" w:hAnsi="Times New Roman" w:cs="Times New Roman"/>
          <w:szCs w:val="28"/>
        </w:rPr>
        <w:t xml:space="preserve"> если по результатам периодического подтверждения соответствия лицензионным требованиям выявлены грубые нарушения лицензиатом </w:t>
      </w:r>
      <w:r w:rsidRPr="00AF54EB">
        <w:rPr>
          <w:rFonts w:ascii="Times New Roman" w:hAnsi="Times New Roman" w:cs="Times New Roman"/>
          <w:szCs w:val="28"/>
        </w:rPr>
        <w:lastRenderedPageBreak/>
        <w:t>лицензионных требований, лицензирующий орган проводит оценку устранения указанных нарушений в срок, не превышающий десяти рабочих дней со дня, следующего за днем получения уведомления, указанного в части 11 ст. 19.3</w:t>
      </w:r>
    </w:p>
    <w:p w:rsidR="00AF54EB" w:rsidRPr="00AF54EB" w:rsidRDefault="00AF54EB" w:rsidP="00AF54EB">
      <w:pPr>
        <w:pStyle w:val="Textbody"/>
        <w:widowControl/>
        <w:spacing w:after="300" w:line="375" w:lineRule="atLeast"/>
        <w:rPr>
          <w:rFonts w:ascii="Times New Roman" w:hAnsi="Times New Roman" w:cs="Times New Roman"/>
          <w:szCs w:val="28"/>
        </w:rPr>
      </w:pPr>
      <w:r w:rsidRPr="00AF54EB">
        <w:rPr>
          <w:rFonts w:ascii="Times New Roman" w:hAnsi="Times New Roman" w:cs="Times New Roman"/>
          <w:szCs w:val="28"/>
        </w:rPr>
        <w:t>В случае, если по результатам периодического подтверждения соответствия лицензиата лицензионным требованиям выявлены нарушения лицензионных требований, не относящиеся к грубым нарушениям,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требованиям.</w:t>
      </w:r>
    </w:p>
    <w:p w:rsidR="00BC3EA2" w:rsidRDefault="00BC3EA2" w:rsidP="00AF54EB">
      <w:bookmarkStart w:id="0" w:name="_GoBack"/>
      <w:bookmarkEnd w:id="0"/>
    </w:p>
    <w:sectPr w:rsidR="00BC3EA2" w:rsidSect="00AF54EB">
      <w:pgSz w:w="11906" w:h="16838"/>
      <w:pgMar w:top="1134" w:right="567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GOSTUI2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4EB"/>
    <w:rsid w:val="000539F3"/>
    <w:rsid w:val="000627BA"/>
    <w:rsid w:val="00083BA9"/>
    <w:rsid w:val="00090FC2"/>
    <w:rsid w:val="000B6F96"/>
    <w:rsid w:val="000C7A5F"/>
    <w:rsid w:val="000D072F"/>
    <w:rsid w:val="000D3A5A"/>
    <w:rsid w:val="000D653A"/>
    <w:rsid w:val="000F70C6"/>
    <w:rsid w:val="00116E2E"/>
    <w:rsid w:val="0015412E"/>
    <w:rsid w:val="001A100E"/>
    <w:rsid w:val="001B4777"/>
    <w:rsid w:val="00215D87"/>
    <w:rsid w:val="002447CC"/>
    <w:rsid w:val="00252B90"/>
    <w:rsid w:val="002B541F"/>
    <w:rsid w:val="002D3CF6"/>
    <w:rsid w:val="00350D1B"/>
    <w:rsid w:val="00370BFF"/>
    <w:rsid w:val="003746FB"/>
    <w:rsid w:val="00395185"/>
    <w:rsid w:val="003A1F64"/>
    <w:rsid w:val="003B167F"/>
    <w:rsid w:val="003B1C2E"/>
    <w:rsid w:val="003B4AE4"/>
    <w:rsid w:val="003C0C28"/>
    <w:rsid w:val="003E6549"/>
    <w:rsid w:val="003F13AA"/>
    <w:rsid w:val="00413BBA"/>
    <w:rsid w:val="00415747"/>
    <w:rsid w:val="004266F9"/>
    <w:rsid w:val="00462B8E"/>
    <w:rsid w:val="00470060"/>
    <w:rsid w:val="004A73AE"/>
    <w:rsid w:val="004C3ED1"/>
    <w:rsid w:val="004C78B6"/>
    <w:rsid w:val="004D3107"/>
    <w:rsid w:val="004F2D18"/>
    <w:rsid w:val="00527974"/>
    <w:rsid w:val="005535AD"/>
    <w:rsid w:val="005717A8"/>
    <w:rsid w:val="00581F0A"/>
    <w:rsid w:val="005F29A2"/>
    <w:rsid w:val="005F5F14"/>
    <w:rsid w:val="00631B46"/>
    <w:rsid w:val="00636F36"/>
    <w:rsid w:val="0066215C"/>
    <w:rsid w:val="00665499"/>
    <w:rsid w:val="006E5688"/>
    <w:rsid w:val="007002FB"/>
    <w:rsid w:val="00702414"/>
    <w:rsid w:val="00707CB9"/>
    <w:rsid w:val="007339E3"/>
    <w:rsid w:val="00740692"/>
    <w:rsid w:val="00743F3B"/>
    <w:rsid w:val="007464DD"/>
    <w:rsid w:val="00791A44"/>
    <w:rsid w:val="007B15F1"/>
    <w:rsid w:val="007B6839"/>
    <w:rsid w:val="007D3CC0"/>
    <w:rsid w:val="007D4352"/>
    <w:rsid w:val="007D55B9"/>
    <w:rsid w:val="007D5AA6"/>
    <w:rsid w:val="007D6357"/>
    <w:rsid w:val="00800295"/>
    <w:rsid w:val="00812E70"/>
    <w:rsid w:val="0087105C"/>
    <w:rsid w:val="00872144"/>
    <w:rsid w:val="00877D83"/>
    <w:rsid w:val="00880A87"/>
    <w:rsid w:val="008849E5"/>
    <w:rsid w:val="008A7844"/>
    <w:rsid w:val="008D4F00"/>
    <w:rsid w:val="008F5A82"/>
    <w:rsid w:val="00904254"/>
    <w:rsid w:val="0090454F"/>
    <w:rsid w:val="00904CA3"/>
    <w:rsid w:val="00931F48"/>
    <w:rsid w:val="00937A45"/>
    <w:rsid w:val="00945D12"/>
    <w:rsid w:val="0096568D"/>
    <w:rsid w:val="00970691"/>
    <w:rsid w:val="009865C9"/>
    <w:rsid w:val="00993C60"/>
    <w:rsid w:val="00994B14"/>
    <w:rsid w:val="009D5C8D"/>
    <w:rsid w:val="009F17BC"/>
    <w:rsid w:val="00A41DE6"/>
    <w:rsid w:val="00A86F15"/>
    <w:rsid w:val="00AB07C6"/>
    <w:rsid w:val="00AB0C77"/>
    <w:rsid w:val="00AB5C04"/>
    <w:rsid w:val="00AB630C"/>
    <w:rsid w:val="00AC1C48"/>
    <w:rsid w:val="00AD1B32"/>
    <w:rsid w:val="00AD1B8E"/>
    <w:rsid w:val="00AD3942"/>
    <w:rsid w:val="00AD665E"/>
    <w:rsid w:val="00AF08E8"/>
    <w:rsid w:val="00AF54EB"/>
    <w:rsid w:val="00AF6615"/>
    <w:rsid w:val="00B240AD"/>
    <w:rsid w:val="00B25C89"/>
    <w:rsid w:val="00B8081E"/>
    <w:rsid w:val="00B84FCF"/>
    <w:rsid w:val="00B91950"/>
    <w:rsid w:val="00BA5D57"/>
    <w:rsid w:val="00BC3EA2"/>
    <w:rsid w:val="00BD0987"/>
    <w:rsid w:val="00BD7212"/>
    <w:rsid w:val="00BE5553"/>
    <w:rsid w:val="00C55D82"/>
    <w:rsid w:val="00C63515"/>
    <w:rsid w:val="00C7775C"/>
    <w:rsid w:val="00C9438A"/>
    <w:rsid w:val="00CB10EE"/>
    <w:rsid w:val="00CC487D"/>
    <w:rsid w:val="00CD3819"/>
    <w:rsid w:val="00CE2FDC"/>
    <w:rsid w:val="00CE6B00"/>
    <w:rsid w:val="00D21AC1"/>
    <w:rsid w:val="00D24050"/>
    <w:rsid w:val="00D43F3F"/>
    <w:rsid w:val="00D60EAA"/>
    <w:rsid w:val="00D64C5D"/>
    <w:rsid w:val="00D87673"/>
    <w:rsid w:val="00DC4C15"/>
    <w:rsid w:val="00DD767A"/>
    <w:rsid w:val="00E31738"/>
    <w:rsid w:val="00E35B4B"/>
    <w:rsid w:val="00E541E9"/>
    <w:rsid w:val="00EC5893"/>
    <w:rsid w:val="00ED22B1"/>
    <w:rsid w:val="00ED688E"/>
    <w:rsid w:val="00F61CE2"/>
    <w:rsid w:val="00F743D3"/>
    <w:rsid w:val="00F80D9D"/>
    <w:rsid w:val="00F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B"/>
    <w:pPr>
      <w:widowControl w:val="0"/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F54EB"/>
    <w:pPr>
      <w:jc w:val="both"/>
    </w:pPr>
    <w:rPr>
      <w:rFonts w:ascii="PT Astra Serif" w:hAnsi="PT Astra Serif"/>
      <w:sz w:val="28"/>
    </w:rPr>
  </w:style>
  <w:style w:type="paragraph" w:customStyle="1" w:styleId="11">
    <w:name w:val="Заголовок 11"/>
    <w:basedOn w:val="a"/>
    <w:next w:val="a"/>
    <w:rsid w:val="00AF54EB"/>
    <w:pPr>
      <w:jc w:val="center"/>
      <w:outlineLvl w:val="0"/>
    </w:pPr>
    <w:rPr>
      <w:rFonts w:ascii="PT Astra Serif" w:hAnsi="PT Astra Serif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Бурда</dc:creator>
  <cp:keywords/>
  <dc:description/>
  <cp:lastModifiedBy>Пользователь Windows</cp:lastModifiedBy>
  <cp:revision>3</cp:revision>
  <dcterms:created xsi:type="dcterms:W3CDTF">2024-01-12T10:37:00Z</dcterms:created>
  <dcterms:modified xsi:type="dcterms:W3CDTF">2024-02-06T07:39:00Z</dcterms:modified>
</cp:coreProperties>
</file>